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25243" w14:textId="1E93654B" w:rsidR="003759EE" w:rsidRPr="003759EE" w:rsidRDefault="003759EE" w:rsidP="003759EE">
      <w:pPr>
        <w:widowControl/>
        <w:spacing w:line="660" w:lineRule="atLeast"/>
        <w:textAlignment w:val="center"/>
        <w:outlineLvl w:val="0"/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</w:pPr>
      <w:bookmarkStart w:id="0" w:name="_GoBack"/>
      <w:bookmarkEnd w:id="0"/>
      <w:proofErr w:type="spellStart"/>
      <w:r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  <w:t>EzTooL</w:t>
      </w:r>
      <w:proofErr w:type="spellEnd"/>
      <w:r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  <w:t xml:space="preserve"> ERP</w:t>
      </w:r>
      <w:r w:rsidRPr="003759EE"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  <w:t xml:space="preserve"> </w:t>
      </w:r>
      <w:r w:rsidRPr="003759EE"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  <w:t>服務水準協議</w:t>
      </w:r>
      <w:r w:rsidRPr="003759EE">
        <w:rPr>
          <w:rFonts w:ascii="Roboto" w:eastAsia="新細明體" w:hAnsi="Roboto" w:cs="新細明體"/>
          <w:color w:val="202124"/>
          <w:spacing w:val="-4"/>
          <w:kern w:val="36"/>
          <w:sz w:val="54"/>
          <w:szCs w:val="54"/>
        </w:rPr>
        <w:t xml:space="preserve"> (SLA)</w:t>
      </w:r>
    </w:p>
    <w:p w14:paraId="10CAB8E6" w14:textId="674497F4" w:rsidR="003759EE" w:rsidRPr="003759EE" w:rsidRDefault="003759EE" w:rsidP="003759EE">
      <w:pPr>
        <w:widowControl/>
        <w:spacing w:line="420" w:lineRule="atLeast"/>
        <w:rPr>
          <w:rFonts w:ascii="Roboto" w:eastAsia="新細明體" w:hAnsi="Roboto" w:cs="新細明體"/>
          <w:color w:val="5F6368"/>
          <w:kern w:val="0"/>
          <w:sz w:val="27"/>
          <w:szCs w:val="27"/>
        </w:rPr>
      </w:pP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在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</w:t>
      </w: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同意向「客戶」提供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</w:t>
      </w:r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ERP </w:t>
      </w:r>
      <w:r>
        <w:rPr>
          <w:rFonts w:ascii="Roboto" w:eastAsia="新細明體" w:hAnsi="Roboto" w:cs="新細明體" w:hint="eastAsia"/>
          <w:color w:val="5F6368"/>
          <w:kern w:val="0"/>
          <w:sz w:val="27"/>
          <w:szCs w:val="27"/>
        </w:rPr>
        <w:t>服務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的協議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(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在適用情況下，下稱「協議」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) 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有效期間內，「涵蓋服務」將為「客戶」提供至少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99.9% 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的「每月正常運作時間百分比」。</w:t>
      </w:r>
    </w:p>
    <w:p w14:paraId="4C23F9E4" w14:textId="3AF442E2" w:rsidR="003759EE" w:rsidRPr="003759EE" w:rsidRDefault="003759EE" w:rsidP="003759EE">
      <w:pPr>
        <w:widowControl/>
        <w:spacing w:before="240" w:line="420" w:lineRule="atLeast"/>
        <w:rPr>
          <w:rFonts w:ascii="Roboto" w:eastAsia="新細明體" w:hAnsi="Roboto" w:cs="新細明體"/>
          <w:color w:val="5F6368"/>
          <w:kern w:val="0"/>
          <w:sz w:val="27"/>
          <w:szCs w:val="27"/>
        </w:rPr>
      </w:pP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如果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</w:t>
      </w: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無法達到服務等級目標，而「客戶」已確實履行服務水準協議所規定的義務，「客戶」即有資格索取以下所述的「款項</w:t>
      </w:r>
      <w:proofErr w:type="gramStart"/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抵免額</w:t>
      </w:r>
      <w:proofErr w:type="gramEnd"/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」。「每月正常運作時間百分比」與「款項</w:t>
      </w:r>
      <w:proofErr w:type="gramStart"/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抵免額</w:t>
      </w:r>
      <w:proofErr w:type="gramEnd"/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」是根據每個執行個體的</w:t>
      </w:r>
      <w:r>
        <w:rPr>
          <w:rFonts w:ascii="Roboto" w:eastAsia="新細明體" w:hAnsi="Roboto" w:cs="新細明體" w:hint="eastAsia"/>
          <w:color w:val="5F6368"/>
          <w:kern w:val="0"/>
          <w:sz w:val="27"/>
          <w:szCs w:val="27"/>
        </w:rPr>
        <w:t>租用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月份而定。當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</w:t>
      </w: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kern w:val="0"/>
          <w:sz w:val="27"/>
          <w:szCs w:val="27"/>
        </w:rPr>
        <w:t>無法達到「服務等級目標」時，「客戶」唯一可以使用的專屬補救措施以此「服務水準協議」所述者為限。此「服務水準協議」中有使用但未定義的括號字詞與「協議」中所規定者相同。</w:t>
      </w:r>
    </w:p>
    <w:p w14:paraId="1B366B5C" w14:textId="77777777" w:rsidR="003759EE" w:rsidRPr="003759EE" w:rsidRDefault="003759EE" w:rsidP="003759EE">
      <w:pPr>
        <w:widowControl/>
        <w:spacing w:line="420" w:lineRule="atLeast"/>
        <w:outlineLvl w:val="3"/>
        <w:rPr>
          <w:rFonts w:ascii="Roboto" w:eastAsia="新細明體" w:hAnsi="Roboto" w:cs="新細明體"/>
          <w:color w:val="202124"/>
          <w:kern w:val="0"/>
          <w:sz w:val="30"/>
          <w:szCs w:val="30"/>
        </w:rPr>
      </w:pPr>
      <w:r w:rsidRPr="003759EE">
        <w:rPr>
          <w:rFonts w:ascii="Roboto" w:eastAsia="新細明體" w:hAnsi="Roboto" w:cs="新細明體"/>
          <w:color w:val="202124"/>
          <w:kern w:val="0"/>
          <w:sz w:val="30"/>
          <w:szCs w:val="30"/>
        </w:rPr>
        <w:t>定義</w:t>
      </w:r>
    </w:p>
    <w:p w14:paraId="11C15F7F" w14:textId="77777777" w:rsidR="003759EE" w:rsidRPr="003759EE" w:rsidRDefault="003759EE" w:rsidP="003759EE">
      <w:pPr>
        <w:widowControl/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服務水準協議採用下列定義：</w:t>
      </w:r>
    </w:p>
    <w:p w14:paraId="42795205" w14:textId="50A68350" w:rsidR="003759EE" w:rsidRPr="003759EE" w:rsidRDefault="003759EE" w:rsidP="003759EE">
      <w:pPr>
        <w:widowControl/>
        <w:numPr>
          <w:ilvl w:val="0"/>
          <w:numId w:val="1"/>
        </w:numPr>
        <w:spacing w:before="240" w:after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「涵蓋服務」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是指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r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r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24</w:t>
      </w:r>
      <w:r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小時的正常運行，包含資料正確性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。</w:t>
      </w:r>
    </w:p>
    <w:p w14:paraId="434C5D36" w14:textId="1646CDEF" w:rsidR="003759EE" w:rsidRPr="003759EE" w:rsidRDefault="003759EE" w:rsidP="003759EE">
      <w:pPr>
        <w:widowControl/>
        <w:numPr>
          <w:ilvl w:val="0"/>
          <w:numId w:val="1"/>
        </w:numPr>
        <w:spacing w:before="240" w:after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「停機時間」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係指對適用的「涵蓋服務」執行個體的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連線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要求均失敗的情形。</w:t>
      </w:r>
    </w:p>
    <w:p w14:paraId="63A0C0D3" w14:textId="77777777" w:rsidR="003759EE" w:rsidRPr="003759EE" w:rsidRDefault="003759EE" w:rsidP="003759EE">
      <w:pPr>
        <w:widowControl/>
        <w:numPr>
          <w:ilvl w:val="0"/>
          <w:numId w:val="1"/>
        </w:numPr>
        <w:spacing w:before="240" w:after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「停機時段」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是指「停機時間」連續達五分鐘以上的時間。未滿五分鐘的「間歇性停機時間」並不會計入停機時段。「定期維護作業」的「停機時間」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不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會計入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任何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「停機時段」。</w:t>
      </w:r>
    </w:p>
    <w:p w14:paraId="2912412F" w14:textId="77777777" w:rsidR="003759EE" w:rsidRPr="003759EE" w:rsidRDefault="003759EE" w:rsidP="003759EE">
      <w:pPr>
        <w:widowControl/>
        <w:numPr>
          <w:ilvl w:val="0"/>
          <w:numId w:val="1"/>
        </w:numPr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「款項</w:t>
      </w:r>
      <w:proofErr w:type="gramStart"/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抵免額</w:t>
      </w:r>
      <w:proofErr w:type="gramEnd"/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是指：</w:t>
      </w:r>
    </w:p>
    <w:tbl>
      <w:tblPr>
        <w:tblW w:w="12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8498"/>
      </w:tblGrid>
      <w:tr w:rsidR="003759EE" w:rsidRPr="003759EE" w14:paraId="56191D95" w14:textId="77777777" w:rsidTr="003759EE">
        <w:trPr>
          <w:tblHeader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60" w:type="dxa"/>
              <w:bottom w:w="300" w:type="dxa"/>
              <w:right w:w="360" w:type="dxa"/>
            </w:tcMar>
            <w:hideMark/>
          </w:tcPr>
          <w:p w14:paraId="3C5B7C72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  <w:t>每月正常運作時間百分比</w:t>
            </w:r>
          </w:p>
        </w:tc>
        <w:tc>
          <w:tcPr>
            <w:tcW w:w="8498" w:type="dxa"/>
            <w:tcBorders>
              <w:top w:val="nil"/>
              <w:left w:val="single" w:sz="6" w:space="0" w:color="F1F3F4"/>
              <w:bottom w:val="nil"/>
              <w:right w:val="nil"/>
            </w:tcBorders>
            <w:shd w:val="clear" w:color="auto" w:fill="FFFFFF"/>
            <w:tcMar>
              <w:top w:w="300" w:type="dxa"/>
              <w:left w:w="360" w:type="dxa"/>
              <w:bottom w:w="300" w:type="dxa"/>
              <w:right w:w="360" w:type="dxa"/>
            </w:tcMar>
            <w:hideMark/>
          </w:tcPr>
          <w:p w14:paraId="18AE39F7" w14:textId="77777777" w:rsid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  <w:t>適用的「涵蓋服務」未達</w:t>
            </w:r>
            <w:r>
              <w:rPr>
                <w:rFonts w:ascii="Arial" w:eastAsia="新細明體" w:hAnsi="Arial" w:cs="新細明體" w:hint="eastAsia"/>
                <w:color w:val="3C4043"/>
                <w:kern w:val="0"/>
                <w:sz w:val="27"/>
                <w:szCs w:val="27"/>
              </w:rPr>
              <w:t>標</w:t>
            </w:r>
          </w:p>
          <w:p w14:paraId="1CC1E91F" w14:textId="6EF2836E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 w:val="27"/>
                <w:szCs w:val="27"/>
              </w:rPr>
              <w:t>而向「客戶」提供的後每月收費抵免百分比</w:t>
            </w:r>
          </w:p>
        </w:tc>
      </w:tr>
      <w:tr w:rsidR="003759EE" w:rsidRPr="003759EE" w14:paraId="035DFE79" w14:textId="77777777" w:rsidTr="003759E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1C90B65F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t>99.0%–&lt; 99.9%</w:t>
            </w:r>
          </w:p>
        </w:tc>
        <w:tc>
          <w:tcPr>
            <w:tcW w:w="8498" w:type="dxa"/>
            <w:tcBorders>
              <w:top w:val="nil"/>
              <w:left w:val="single" w:sz="6" w:space="0" w:color="F1F3F4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76B11ACC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t>10%</w:t>
            </w:r>
          </w:p>
        </w:tc>
      </w:tr>
      <w:tr w:rsidR="003759EE" w:rsidRPr="003759EE" w14:paraId="1557CB3E" w14:textId="77777777" w:rsidTr="003759E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47F80CE6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t>95.0%–&lt; 99.0%</w:t>
            </w:r>
          </w:p>
        </w:tc>
        <w:tc>
          <w:tcPr>
            <w:tcW w:w="8498" w:type="dxa"/>
            <w:tcBorders>
              <w:top w:val="nil"/>
              <w:left w:val="single" w:sz="6" w:space="0" w:color="F1F3F4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12139C17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t>25%</w:t>
            </w:r>
          </w:p>
        </w:tc>
      </w:tr>
      <w:tr w:rsidR="003759EE" w:rsidRPr="003759EE" w14:paraId="29262AEB" w14:textId="77777777" w:rsidTr="003759E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641CB56E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lastRenderedPageBreak/>
              <w:t>&lt;95.0%</w:t>
            </w:r>
          </w:p>
        </w:tc>
        <w:tc>
          <w:tcPr>
            <w:tcW w:w="8498" w:type="dxa"/>
            <w:tcBorders>
              <w:top w:val="nil"/>
              <w:left w:val="single" w:sz="6" w:space="0" w:color="F1F3F4"/>
              <w:bottom w:val="nil"/>
              <w:right w:val="nil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14:paraId="3C6927BC" w14:textId="77777777" w:rsidR="003759EE" w:rsidRPr="003759EE" w:rsidRDefault="003759EE" w:rsidP="003759EE">
            <w:pPr>
              <w:widowControl/>
              <w:spacing w:line="390" w:lineRule="atLeast"/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</w:pPr>
            <w:r w:rsidRPr="003759EE">
              <w:rPr>
                <w:rFonts w:ascii="Arial" w:eastAsia="新細明體" w:hAnsi="Arial" w:cs="新細明體"/>
                <w:color w:val="3C4043"/>
                <w:kern w:val="0"/>
                <w:szCs w:val="24"/>
              </w:rPr>
              <w:t>50%</w:t>
            </w:r>
          </w:p>
        </w:tc>
      </w:tr>
    </w:tbl>
    <w:p w14:paraId="3849481F" w14:textId="77777777" w:rsidR="003759EE" w:rsidRPr="003759EE" w:rsidRDefault="003759EE" w:rsidP="003759EE">
      <w:pPr>
        <w:widowControl/>
        <w:numPr>
          <w:ilvl w:val="0"/>
          <w:numId w:val="2"/>
        </w:numPr>
        <w:spacing w:before="240" w:after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「每月正常運作時間百分比」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是以當月總分鐘數扣掉當月所有「停機時段」的「停機」分鐘數，再除以當月總分鐘數計算而得。</w:t>
      </w:r>
    </w:p>
    <w:p w14:paraId="6E60A36D" w14:textId="5DACC55B" w:rsidR="003759EE" w:rsidRPr="003759EE" w:rsidRDefault="003759EE" w:rsidP="003759EE">
      <w:pPr>
        <w:widowControl/>
        <w:numPr>
          <w:ilvl w:val="0"/>
          <w:numId w:val="2"/>
        </w:numPr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b/>
          <w:bCs/>
          <w:color w:val="5F6368"/>
          <w:spacing w:val="2"/>
          <w:kern w:val="0"/>
          <w:szCs w:val="24"/>
        </w:rPr>
        <w:t>「定期維護作業」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屬於網路、硬體、軟體維護或升級方面的停機時間。定期維護作業將由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自行斟酌履行。</w:t>
      </w:r>
    </w:p>
    <w:p w14:paraId="0C6A8875" w14:textId="77777777" w:rsidR="003759EE" w:rsidRPr="003759EE" w:rsidRDefault="003759EE" w:rsidP="003759EE">
      <w:pPr>
        <w:widowControl/>
        <w:spacing w:line="420" w:lineRule="atLeast"/>
        <w:outlineLvl w:val="3"/>
        <w:rPr>
          <w:rFonts w:ascii="Roboto" w:eastAsia="新細明體" w:hAnsi="Roboto" w:cs="新細明體"/>
          <w:color w:val="202124"/>
          <w:kern w:val="0"/>
          <w:sz w:val="30"/>
          <w:szCs w:val="30"/>
        </w:rPr>
      </w:pPr>
      <w:r w:rsidRPr="003759EE">
        <w:rPr>
          <w:rFonts w:ascii="Roboto" w:eastAsia="新細明體" w:hAnsi="Roboto" w:cs="新細明體"/>
          <w:color w:val="202124"/>
          <w:kern w:val="0"/>
          <w:sz w:val="30"/>
          <w:szCs w:val="30"/>
        </w:rPr>
        <w:t>客戶必須依據規定的程序申請款項抵免額</w:t>
      </w:r>
    </w:p>
    <w:p w14:paraId="6E01ADB8" w14:textId="0E50B5C2" w:rsidR="003759EE" w:rsidRPr="003759EE" w:rsidRDefault="003759EE" w:rsidP="003759EE">
      <w:pPr>
        <w:widowControl/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如要索取上述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任何「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款項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額」，「客戶」必須在符合索取「款項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額」的資格時起，於三十天內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至</w:t>
      </w:r>
      <w:proofErr w:type="spellStart"/>
      <w:r w:rsidR="00B249B8"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 w:rsidR="00B249B8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proofErr w:type="gramStart"/>
      <w:r w:rsidR="00B249B8">
        <w:rPr>
          <w:rFonts w:ascii="Roboto" w:eastAsia="新細明體" w:hAnsi="Roboto" w:cs="新細明體" w:hint="eastAsia"/>
          <w:color w:val="5F6368"/>
          <w:kern w:val="0"/>
          <w:sz w:val="27"/>
          <w:szCs w:val="27"/>
        </w:rPr>
        <w:t>官網線</w:t>
      </w:r>
      <w:proofErr w:type="gramEnd"/>
      <w:r w:rsidR="00B249B8">
        <w:rPr>
          <w:rFonts w:ascii="Roboto" w:eastAsia="新細明體" w:hAnsi="Roboto" w:cs="新細明體" w:hint="eastAsia"/>
          <w:color w:val="5F6368"/>
          <w:kern w:val="0"/>
          <w:sz w:val="27"/>
          <w:szCs w:val="27"/>
        </w:rPr>
        <w:t>上反應，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如果「客戶」未依規定提出通知，則喪失獲取「款項</w:t>
      </w:r>
      <w:proofErr w:type="gram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</w:t>
      </w:r>
      <w:proofErr w:type="gram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額」的權利。</w:t>
      </w:r>
    </w:p>
    <w:p w14:paraId="5172550B" w14:textId="77777777" w:rsidR="003759EE" w:rsidRPr="003759EE" w:rsidRDefault="003759EE" w:rsidP="003759EE">
      <w:pPr>
        <w:widowControl/>
        <w:spacing w:line="420" w:lineRule="atLeast"/>
        <w:outlineLvl w:val="3"/>
        <w:rPr>
          <w:rFonts w:ascii="Roboto" w:eastAsia="新細明體" w:hAnsi="Roboto" w:cs="新細明體"/>
          <w:color w:val="202124"/>
          <w:kern w:val="0"/>
          <w:sz w:val="30"/>
          <w:szCs w:val="30"/>
        </w:rPr>
      </w:pPr>
      <w:r w:rsidRPr="003759EE">
        <w:rPr>
          <w:rFonts w:ascii="Roboto" w:eastAsia="新細明體" w:hAnsi="Roboto" w:cs="新細明體"/>
          <w:color w:val="202124"/>
          <w:kern w:val="0"/>
          <w:sz w:val="30"/>
          <w:szCs w:val="30"/>
        </w:rPr>
        <w:t>款項</w:t>
      </w:r>
      <w:proofErr w:type="gramStart"/>
      <w:r w:rsidRPr="003759EE">
        <w:rPr>
          <w:rFonts w:ascii="Roboto" w:eastAsia="新細明體" w:hAnsi="Roboto" w:cs="新細明體"/>
          <w:color w:val="202124"/>
          <w:kern w:val="0"/>
          <w:sz w:val="30"/>
          <w:szCs w:val="30"/>
        </w:rPr>
        <w:t>抵免額上限</w:t>
      </w:r>
      <w:proofErr w:type="gramEnd"/>
    </w:p>
    <w:p w14:paraId="2A3561BC" w14:textId="19FDD10F" w:rsidR="003759EE" w:rsidRPr="003759EE" w:rsidRDefault="00B249B8" w:rsidP="003759EE">
      <w:pPr>
        <w:widowControl/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proofErr w:type="spellStart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就單月發生的所有「停機時段」而核發給「客戶」的「款項</w:t>
      </w:r>
      <w:proofErr w:type="gramStart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抵免額</w:t>
      </w:r>
      <w:proofErr w:type="gramEnd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」總額，不得超過「客戶」當月為適用的「涵蓋服務」繳納金額的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50%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。「款項</w:t>
      </w:r>
      <w:proofErr w:type="gramStart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抵免額</w:t>
      </w:r>
      <w:proofErr w:type="gramEnd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」將會以抵免金額的方式，抵免後續使用「涵蓋服務」的款項，並且會在申請「款項</w:t>
      </w:r>
      <w:proofErr w:type="gramStart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抵免</w:t>
      </w:r>
      <w:proofErr w:type="gramEnd"/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額」後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60 </w:t>
      </w:r>
      <w:r w:rsidR="003759EE"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天內生效。</w:t>
      </w:r>
    </w:p>
    <w:p w14:paraId="5CF341DC" w14:textId="77777777" w:rsidR="003759EE" w:rsidRPr="003759EE" w:rsidRDefault="003759EE" w:rsidP="003759EE">
      <w:pPr>
        <w:widowControl/>
        <w:spacing w:line="420" w:lineRule="atLeast"/>
        <w:outlineLvl w:val="3"/>
        <w:rPr>
          <w:rFonts w:ascii="Roboto" w:eastAsia="新細明體" w:hAnsi="Roboto" w:cs="新細明體"/>
          <w:color w:val="202124"/>
          <w:kern w:val="0"/>
          <w:sz w:val="30"/>
          <w:szCs w:val="30"/>
        </w:rPr>
      </w:pPr>
      <w:r w:rsidRPr="003759EE">
        <w:rPr>
          <w:rFonts w:ascii="Roboto" w:eastAsia="新細明體" w:hAnsi="Roboto" w:cs="新細明體"/>
          <w:color w:val="202124"/>
          <w:kern w:val="0"/>
          <w:sz w:val="30"/>
          <w:szCs w:val="30"/>
        </w:rPr>
        <w:t>服務水準協議排除條款</w:t>
      </w:r>
    </w:p>
    <w:p w14:paraId="7B328995" w14:textId="6C5DB377" w:rsidR="003759EE" w:rsidRPr="003759EE" w:rsidRDefault="003759EE" w:rsidP="003759EE">
      <w:pPr>
        <w:widowControl/>
        <w:spacing w:before="240" w:line="360" w:lineRule="atLeast"/>
        <w:rPr>
          <w:rFonts w:ascii="Roboto" w:eastAsia="新細明體" w:hAnsi="Roboto" w:cs="新細明體"/>
          <w:color w:val="5F6368"/>
          <w:spacing w:val="2"/>
          <w:kern w:val="0"/>
          <w:szCs w:val="24"/>
        </w:rPr>
      </w:pP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服務水準協議不適用下列任一項目：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(a) 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臨時指定需斷線處理的功能或服務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(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b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) 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已淘汰的功能或服務，或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(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c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) 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以下錯誤：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(</w:t>
      </w:r>
      <w:proofErr w:type="spellStart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i</w:t>
      </w:r>
      <w:proofErr w:type="spellEnd"/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) 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超出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 </w:t>
      </w:r>
      <w:proofErr w:type="spellStart"/>
      <w:r w:rsidR="00B249B8">
        <w:rPr>
          <w:rFonts w:ascii="Roboto" w:eastAsia="新細明體" w:hAnsi="Roboto" w:cs="新細明體"/>
          <w:color w:val="5F6368"/>
          <w:kern w:val="0"/>
          <w:sz w:val="27"/>
          <w:szCs w:val="27"/>
        </w:rPr>
        <w:t>EzTooL</w:t>
      </w:r>
      <w:proofErr w:type="spellEnd"/>
      <w:r w:rsidR="00B249B8">
        <w:rPr>
          <w:rFonts w:ascii="Roboto" w:eastAsia="新細明體" w:hAnsi="Roboto" w:cs="新細明體"/>
          <w:color w:val="5F6368"/>
          <w:kern w:val="0"/>
          <w:sz w:val="27"/>
          <w:szCs w:val="27"/>
        </w:rPr>
        <w:t xml:space="preserve"> ERP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合理上可控制之因素所導致的錯誤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(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如用戶自已的網路環境</w:t>
      </w:r>
      <w:r w:rsidR="00B249B8">
        <w:rPr>
          <w:rFonts w:ascii="Roboto" w:eastAsia="新細明體" w:hAnsi="Roboto" w:cs="新細明體" w:hint="eastAsia"/>
          <w:color w:val="5F6368"/>
          <w:spacing w:val="2"/>
          <w:kern w:val="0"/>
          <w:szCs w:val="24"/>
        </w:rPr>
        <w:t>)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；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 xml:space="preserve">(ii) </w:t>
      </w:r>
      <w:r w:rsidRPr="003759EE">
        <w:rPr>
          <w:rFonts w:ascii="Roboto" w:eastAsia="新細明體" w:hAnsi="Roboto" w:cs="新細明體"/>
          <w:color w:val="5F6368"/>
          <w:spacing w:val="2"/>
          <w:kern w:val="0"/>
          <w:szCs w:val="24"/>
        </w:rPr>
        <w:t>因客戶軟硬體或第三方軟硬體或以上兩者所導致的錯誤。</w:t>
      </w:r>
    </w:p>
    <w:p w14:paraId="4BEDCD99" w14:textId="77777777" w:rsidR="00F46A97" w:rsidRDefault="00F46A97"/>
    <w:sectPr w:rsidR="00F46A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F78"/>
    <w:multiLevelType w:val="multilevel"/>
    <w:tmpl w:val="731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14058"/>
    <w:multiLevelType w:val="multilevel"/>
    <w:tmpl w:val="86D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7"/>
    <w:rsid w:val="003759EE"/>
    <w:rsid w:val="00AF1752"/>
    <w:rsid w:val="00B249B8"/>
    <w:rsid w:val="00F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3D43"/>
  <w15:chartTrackingRefBased/>
  <w15:docId w15:val="{6673111B-4535-4D1A-A7D4-516BA0E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759E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759E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59E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3759EE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759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759EE"/>
    <w:rPr>
      <w:b/>
      <w:bCs/>
    </w:rPr>
  </w:style>
  <w:style w:type="character" w:styleId="a4">
    <w:name w:val="Hyperlink"/>
    <w:basedOn w:val="a0"/>
    <w:uiPriority w:val="99"/>
    <w:semiHidden/>
    <w:unhideWhenUsed/>
    <w:rsid w:val="003759E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3759E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9456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5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03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2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6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4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64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2021-09-15T03:53:00Z</dcterms:created>
  <dcterms:modified xsi:type="dcterms:W3CDTF">2021-09-15T03:53:00Z</dcterms:modified>
</cp:coreProperties>
</file>