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25243" w14:textId="1E93654B" w:rsidR="003759EE" w:rsidRPr="003759EE" w:rsidRDefault="003759EE" w:rsidP="003759EE">
      <w:pPr>
        <w:widowControl/>
        <w:spacing w:line="660" w:lineRule="atLeast"/>
        <w:textAlignment w:val="center"/>
        <w:outlineLvl w:val="0"/>
        <w:rPr>
          <w:rFonts w:ascii="Roboto" w:eastAsia="新細明體" w:hAnsi="Roboto" w:cs="新細明體"/>
          <w:color w:val="202124"/>
          <w:spacing w:val="-4"/>
          <w:kern w:val="36"/>
          <w:sz w:val="54"/>
          <w:szCs w:val="54"/>
        </w:rPr>
      </w:pPr>
      <w:bookmarkStart w:id="0" w:name="_GoBack"/>
      <w:bookmarkEnd w:id="0"/>
      <w:proofErr w:type="spellStart"/>
      <w:r>
        <w:rPr>
          <w:rFonts w:ascii="Roboto" w:eastAsia="新細明體" w:hAnsi="Roboto" w:cs="新細明體"/>
          <w:color w:val="202124"/>
          <w:spacing w:val="-4"/>
          <w:kern w:val="36"/>
          <w:sz w:val="54"/>
          <w:szCs w:val="54"/>
        </w:rPr>
        <w:t>EzTooL</w:t>
      </w:r>
      <w:proofErr w:type="spellEnd"/>
      <w:r>
        <w:rPr>
          <w:rFonts w:ascii="Roboto" w:eastAsia="新細明體" w:hAnsi="Roboto" w:cs="新細明體"/>
          <w:color w:val="202124"/>
          <w:spacing w:val="-4"/>
          <w:kern w:val="36"/>
          <w:sz w:val="54"/>
          <w:szCs w:val="54"/>
        </w:rPr>
        <w:t xml:space="preserve"> ERP</w:t>
      </w:r>
      <w:r w:rsidRPr="003759EE">
        <w:rPr>
          <w:rFonts w:ascii="Roboto" w:eastAsia="新細明體" w:hAnsi="Roboto" w:cs="新細明體"/>
          <w:color w:val="202124"/>
          <w:spacing w:val="-4"/>
          <w:kern w:val="36"/>
          <w:sz w:val="54"/>
          <w:szCs w:val="54"/>
        </w:rPr>
        <w:t xml:space="preserve"> </w:t>
      </w:r>
      <w:r w:rsidRPr="003759EE">
        <w:rPr>
          <w:rFonts w:ascii="Roboto" w:eastAsia="新細明體" w:hAnsi="Roboto" w:cs="新細明體"/>
          <w:color w:val="202124"/>
          <w:spacing w:val="-4"/>
          <w:kern w:val="36"/>
          <w:sz w:val="54"/>
          <w:szCs w:val="54"/>
        </w:rPr>
        <w:t>服務水準協議</w:t>
      </w:r>
      <w:r w:rsidRPr="003759EE">
        <w:rPr>
          <w:rFonts w:ascii="Roboto" w:eastAsia="新細明體" w:hAnsi="Roboto" w:cs="新細明體"/>
          <w:color w:val="202124"/>
          <w:spacing w:val="-4"/>
          <w:kern w:val="36"/>
          <w:sz w:val="54"/>
          <w:szCs w:val="54"/>
        </w:rPr>
        <w:t xml:space="preserve"> (SLA)</w:t>
      </w:r>
    </w:p>
    <w:p w14:paraId="10CAB8E6" w14:textId="674497F4" w:rsidR="003759EE" w:rsidRPr="003759EE" w:rsidRDefault="003759EE" w:rsidP="003759EE">
      <w:pPr>
        <w:widowControl/>
        <w:spacing w:line="420" w:lineRule="atLeast"/>
        <w:rPr>
          <w:rFonts w:ascii="Roboto" w:eastAsia="新細明體" w:hAnsi="Roboto" w:cs="新細明體"/>
          <w:color w:val="5F6368"/>
          <w:kern w:val="0"/>
          <w:sz w:val="27"/>
          <w:szCs w:val="27"/>
        </w:rPr>
      </w:pPr>
      <w:r w:rsidRPr="003759EE">
        <w:rPr>
          <w:rFonts w:ascii="Roboto" w:eastAsia="新細明體" w:hAnsi="Roboto" w:cs="新細明體"/>
          <w:color w:val="5F6368"/>
          <w:kern w:val="0"/>
          <w:sz w:val="27"/>
          <w:szCs w:val="27"/>
        </w:rPr>
        <w:t>在</w:t>
      </w:r>
      <w:r w:rsidRPr="003759EE">
        <w:rPr>
          <w:rFonts w:ascii="Roboto" w:eastAsia="新細明體" w:hAnsi="Roboto" w:cs="新細明體"/>
          <w:color w:val="5F6368"/>
          <w:kern w:val="0"/>
          <w:sz w:val="27"/>
          <w:szCs w:val="27"/>
        </w:rPr>
        <w:t xml:space="preserve"> </w:t>
      </w:r>
      <w:proofErr w:type="spellStart"/>
      <w:r>
        <w:rPr>
          <w:rFonts w:ascii="Roboto" w:eastAsia="新細明體" w:hAnsi="Roboto" w:cs="新細明體"/>
          <w:color w:val="5F6368"/>
          <w:kern w:val="0"/>
          <w:sz w:val="27"/>
          <w:szCs w:val="27"/>
        </w:rPr>
        <w:t>EzTooL</w:t>
      </w:r>
      <w:proofErr w:type="spellEnd"/>
      <w:r>
        <w:rPr>
          <w:rFonts w:ascii="Roboto" w:eastAsia="新細明體" w:hAnsi="Roboto" w:cs="新細明體"/>
          <w:color w:val="5F6368"/>
          <w:kern w:val="0"/>
          <w:sz w:val="27"/>
          <w:szCs w:val="27"/>
        </w:rPr>
        <w:t xml:space="preserve"> ERP</w:t>
      </w:r>
      <w:r w:rsidRPr="003759EE">
        <w:rPr>
          <w:rFonts w:ascii="Roboto" w:eastAsia="新細明體" w:hAnsi="Roboto" w:cs="新細明體"/>
          <w:color w:val="5F6368"/>
          <w:kern w:val="0"/>
          <w:sz w:val="27"/>
          <w:szCs w:val="27"/>
        </w:rPr>
        <w:t xml:space="preserve"> </w:t>
      </w:r>
      <w:r w:rsidRPr="003759EE">
        <w:rPr>
          <w:rFonts w:ascii="Roboto" w:eastAsia="新細明體" w:hAnsi="Roboto" w:cs="新細明體"/>
          <w:color w:val="5F6368"/>
          <w:kern w:val="0"/>
          <w:sz w:val="27"/>
          <w:szCs w:val="27"/>
        </w:rPr>
        <w:t>同意向「客戶」提供</w:t>
      </w:r>
      <w:r w:rsidRPr="003759EE">
        <w:rPr>
          <w:rFonts w:ascii="Roboto" w:eastAsia="新細明體" w:hAnsi="Roboto" w:cs="新細明體"/>
          <w:color w:val="5F6368"/>
          <w:kern w:val="0"/>
          <w:sz w:val="27"/>
          <w:szCs w:val="27"/>
        </w:rPr>
        <w:t xml:space="preserve"> </w:t>
      </w:r>
      <w:r>
        <w:rPr>
          <w:rFonts w:ascii="Roboto" w:eastAsia="新細明體" w:hAnsi="Roboto" w:cs="新細明體"/>
          <w:color w:val="5F6368"/>
          <w:kern w:val="0"/>
          <w:sz w:val="27"/>
          <w:szCs w:val="27"/>
        </w:rPr>
        <w:t xml:space="preserve">ERP </w:t>
      </w:r>
      <w:r>
        <w:rPr>
          <w:rFonts w:ascii="Roboto" w:eastAsia="新細明體" w:hAnsi="Roboto" w:cs="新細明體" w:hint="eastAsia"/>
          <w:color w:val="5F6368"/>
          <w:kern w:val="0"/>
          <w:sz w:val="27"/>
          <w:szCs w:val="27"/>
        </w:rPr>
        <w:t>服務</w:t>
      </w:r>
      <w:r w:rsidRPr="003759EE">
        <w:rPr>
          <w:rFonts w:ascii="Roboto" w:eastAsia="新細明體" w:hAnsi="Roboto" w:cs="新細明體"/>
          <w:color w:val="5F6368"/>
          <w:kern w:val="0"/>
          <w:sz w:val="27"/>
          <w:szCs w:val="27"/>
        </w:rPr>
        <w:t>的協議</w:t>
      </w:r>
      <w:r w:rsidRPr="003759EE">
        <w:rPr>
          <w:rFonts w:ascii="Roboto" w:eastAsia="新細明體" w:hAnsi="Roboto" w:cs="新細明體"/>
          <w:color w:val="5F6368"/>
          <w:kern w:val="0"/>
          <w:sz w:val="27"/>
          <w:szCs w:val="27"/>
        </w:rPr>
        <w:t xml:space="preserve"> (</w:t>
      </w:r>
      <w:r w:rsidRPr="003759EE">
        <w:rPr>
          <w:rFonts w:ascii="Roboto" w:eastAsia="新細明體" w:hAnsi="Roboto" w:cs="新細明體"/>
          <w:color w:val="5F6368"/>
          <w:kern w:val="0"/>
          <w:sz w:val="27"/>
          <w:szCs w:val="27"/>
        </w:rPr>
        <w:t>在適用情況下，下稱「協議」</w:t>
      </w:r>
      <w:r w:rsidRPr="003759EE">
        <w:rPr>
          <w:rFonts w:ascii="Roboto" w:eastAsia="新細明體" w:hAnsi="Roboto" w:cs="新細明體"/>
          <w:color w:val="5F6368"/>
          <w:kern w:val="0"/>
          <w:sz w:val="27"/>
          <w:szCs w:val="27"/>
        </w:rPr>
        <w:t xml:space="preserve">) </w:t>
      </w:r>
      <w:r w:rsidRPr="003759EE">
        <w:rPr>
          <w:rFonts w:ascii="Roboto" w:eastAsia="新細明體" w:hAnsi="Roboto" w:cs="新細明體"/>
          <w:color w:val="5F6368"/>
          <w:kern w:val="0"/>
          <w:sz w:val="27"/>
          <w:szCs w:val="27"/>
        </w:rPr>
        <w:t>有效期間內，「涵蓋服務」將為「客戶」提供至少</w:t>
      </w:r>
      <w:r w:rsidRPr="003759EE">
        <w:rPr>
          <w:rFonts w:ascii="Roboto" w:eastAsia="新細明體" w:hAnsi="Roboto" w:cs="新細明體"/>
          <w:color w:val="5F6368"/>
          <w:kern w:val="0"/>
          <w:sz w:val="27"/>
          <w:szCs w:val="27"/>
        </w:rPr>
        <w:t xml:space="preserve"> 99.9% </w:t>
      </w:r>
      <w:r w:rsidRPr="003759EE">
        <w:rPr>
          <w:rFonts w:ascii="Roboto" w:eastAsia="新細明體" w:hAnsi="Roboto" w:cs="新細明體"/>
          <w:color w:val="5F6368"/>
          <w:kern w:val="0"/>
          <w:sz w:val="27"/>
          <w:szCs w:val="27"/>
        </w:rPr>
        <w:t>的「每月正常運作時間百分比」。</w:t>
      </w:r>
    </w:p>
    <w:p w14:paraId="4C23F9E4" w14:textId="3AF442E2" w:rsidR="003759EE" w:rsidRPr="003759EE" w:rsidRDefault="003759EE" w:rsidP="003759EE">
      <w:pPr>
        <w:widowControl/>
        <w:spacing w:before="240" w:line="420" w:lineRule="atLeast"/>
        <w:rPr>
          <w:rFonts w:ascii="Roboto" w:eastAsia="新細明體" w:hAnsi="Roboto" w:cs="新細明體"/>
          <w:color w:val="5F6368"/>
          <w:kern w:val="0"/>
          <w:sz w:val="27"/>
          <w:szCs w:val="27"/>
        </w:rPr>
      </w:pPr>
      <w:r w:rsidRPr="003759EE">
        <w:rPr>
          <w:rFonts w:ascii="Roboto" w:eastAsia="新細明體" w:hAnsi="Roboto" w:cs="新細明體"/>
          <w:color w:val="5F6368"/>
          <w:kern w:val="0"/>
          <w:sz w:val="27"/>
          <w:szCs w:val="27"/>
        </w:rPr>
        <w:t>如果</w:t>
      </w:r>
      <w:r w:rsidRPr="003759EE">
        <w:rPr>
          <w:rFonts w:ascii="Roboto" w:eastAsia="新細明體" w:hAnsi="Roboto" w:cs="新細明體"/>
          <w:color w:val="5F6368"/>
          <w:kern w:val="0"/>
          <w:sz w:val="27"/>
          <w:szCs w:val="27"/>
        </w:rPr>
        <w:t xml:space="preserve"> </w:t>
      </w:r>
      <w:proofErr w:type="spellStart"/>
      <w:r>
        <w:rPr>
          <w:rFonts w:ascii="Roboto" w:eastAsia="新細明體" w:hAnsi="Roboto" w:cs="新細明體"/>
          <w:color w:val="5F6368"/>
          <w:kern w:val="0"/>
          <w:sz w:val="27"/>
          <w:szCs w:val="27"/>
        </w:rPr>
        <w:t>EzTooL</w:t>
      </w:r>
      <w:proofErr w:type="spellEnd"/>
      <w:r>
        <w:rPr>
          <w:rFonts w:ascii="Roboto" w:eastAsia="新細明體" w:hAnsi="Roboto" w:cs="新細明體"/>
          <w:color w:val="5F6368"/>
          <w:kern w:val="0"/>
          <w:sz w:val="27"/>
          <w:szCs w:val="27"/>
        </w:rPr>
        <w:t xml:space="preserve"> ERP</w:t>
      </w:r>
      <w:r w:rsidRPr="003759EE">
        <w:rPr>
          <w:rFonts w:ascii="Roboto" w:eastAsia="新細明體" w:hAnsi="Roboto" w:cs="新細明體"/>
          <w:color w:val="5F6368"/>
          <w:kern w:val="0"/>
          <w:sz w:val="27"/>
          <w:szCs w:val="27"/>
        </w:rPr>
        <w:t>無法達到服務等級目標，而「客戶」已確實履行服務水準協議所規定的義務，「客戶」即有資格索取以下所述的「款項</w:t>
      </w:r>
      <w:proofErr w:type="gramStart"/>
      <w:r w:rsidRPr="003759EE">
        <w:rPr>
          <w:rFonts w:ascii="Roboto" w:eastAsia="新細明體" w:hAnsi="Roboto" w:cs="新細明體"/>
          <w:color w:val="5F6368"/>
          <w:kern w:val="0"/>
          <w:sz w:val="27"/>
          <w:szCs w:val="27"/>
        </w:rPr>
        <w:t>抵免額</w:t>
      </w:r>
      <w:proofErr w:type="gramEnd"/>
      <w:r w:rsidRPr="003759EE">
        <w:rPr>
          <w:rFonts w:ascii="Roboto" w:eastAsia="新細明體" w:hAnsi="Roboto" w:cs="新細明體"/>
          <w:color w:val="5F6368"/>
          <w:kern w:val="0"/>
          <w:sz w:val="27"/>
          <w:szCs w:val="27"/>
        </w:rPr>
        <w:t>」。「每月正常運作時間百分比」與「款項</w:t>
      </w:r>
      <w:proofErr w:type="gramStart"/>
      <w:r w:rsidRPr="003759EE">
        <w:rPr>
          <w:rFonts w:ascii="Roboto" w:eastAsia="新細明體" w:hAnsi="Roboto" w:cs="新細明體"/>
          <w:color w:val="5F6368"/>
          <w:kern w:val="0"/>
          <w:sz w:val="27"/>
          <w:szCs w:val="27"/>
        </w:rPr>
        <w:t>抵免額</w:t>
      </w:r>
      <w:proofErr w:type="gramEnd"/>
      <w:r w:rsidRPr="003759EE">
        <w:rPr>
          <w:rFonts w:ascii="Roboto" w:eastAsia="新細明體" w:hAnsi="Roboto" w:cs="新細明體"/>
          <w:color w:val="5F6368"/>
          <w:kern w:val="0"/>
          <w:sz w:val="27"/>
          <w:szCs w:val="27"/>
        </w:rPr>
        <w:t>」是根據每個執行個體的</w:t>
      </w:r>
      <w:r>
        <w:rPr>
          <w:rFonts w:ascii="Roboto" w:eastAsia="新細明體" w:hAnsi="Roboto" w:cs="新細明體" w:hint="eastAsia"/>
          <w:color w:val="5F6368"/>
          <w:kern w:val="0"/>
          <w:sz w:val="27"/>
          <w:szCs w:val="27"/>
        </w:rPr>
        <w:t>租用</w:t>
      </w:r>
      <w:r w:rsidRPr="003759EE">
        <w:rPr>
          <w:rFonts w:ascii="Roboto" w:eastAsia="新細明體" w:hAnsi="Roboto" w:cs="新細明體"/>
          <w:color w:val="5F6368"/>
          <w:kern w:val="0"/>
          <w:sz w:val="27"/>
          <w:szCs w:val="27"/>
        </w:rPr>
        <w:t>月份而定。當</w:t>
      </w:r>
      <w:r w:rsidRPr="003759EE">
        <w:rPr>
          <w:rFonts w:ascii="Roboto" w:eastAsia="新細明體" w:hAnsi="Roboto" w:cs="新細明體"/>
          <w:color w:val="5F6368"/>
          <w:kern w:val="0"/>
          <w:sz w:val="27"/>
          <w:szCs w:val="27"/>
        </w:rPr>
        <w:t xml:space="preserve"> </w:t>
      </w:r>
      <w:proofErr w:type="spellStart"/>
      <w:r>
        <w:rPr>
          <w:rFonts w:ascii="Roboto" w:eastAsia="新細明體" w:hAnsi="Roboto" w:cs="新細明體"/>
          <w:color w:val="5F6368"/>
          <w:kern w:val="0"/>
          <w:sz w:val="27"/>
          <w:szCs w:val="27"/>
        </w:rPr>
        <w:t>EzTooL</w:t>
      </w:r>
      <w:proofErr w:type="spellEnd"/>
      <w:r>
        <w:rPr>
          <w:rFonts w:ascii="Roboto" w:eastAsia="新細明體" w:hAnsi="Roboto" w:cs="新細明體"/>
          <w:color w:val="5F6368"/>
          <w:kern w:val="0"/>
          <w:sz w:val="27"/>
          <w:szCs w:val="27"/>
        </w:rPr>
        <w:t xml:space="preserve"> ERP</w:t>
      </w:r>
      <w:r w:rsidRPr="003759EE">
        <w:rPr>
          <w:rFonts w:ascii="Roboto" w:eastAsia="新細明體" w:hAnsi="Roboto" w:cs="新細明體"/>
          <w:color w:val="5F6368"/>
          <w:kern w:val="0"/>
          <w:sz w:val="27"/>
          <w:szCs w:val="27"/>
        </w:rPr>
        <w:t>無法達到「服務等級目標」時，「客戶」唯一可以使用的專屬補救措施以此「服務水準協議」所述者為限。此「服務水準協議」中有使用但未定義的括號字詞與「協議」中所規定者相同。</w:t>
      </w:r>
    </w:p>
    <w:p w14:paraId="1B366B5C" w14:textId="77777777" w:rsidR="003759EE" w:rsidRPr="003759EE" w:rsidRDefault="003759EE" w:rsidP="003759EE">
      <w:pPr>
        <w:widowControl/>
        <w:spacing w:line="420" w:lineRule="atLeast"/>
        <w:outlineLvl w:val="3"/>
        <w:rPr>
          <w:rFonts w:ascii="Roboto" w:eastAsia="新細明體" w:hAnsi="Roboto" w:cs="新細明體"/>
          <w:color w:val="202124"/>
          <w:kern w:val="0"/>
          <w:sz w:val="30"/>
          <w:szCs w:val="30"/>
        </w:rPr>
      </w:pPr>
      <w:r w:rsidRPr="003759EE">
        <w:rPr>
          <w:rFonts w:ascii="Roboto" w:eastAsia="新細明體" w:hAnsi="Roboto" w:cs="新細明體"/>
          <w:color w:val="202124"/>
          <w:kern w:val="0"/>
          <w:sz w:val="30"/>
          <w:szCs w:val="30"/>
        </w:rPr>
        <w:t>定義</w:t>
      </w:r>
    </w:p>
    <w:p w14:paraId="11C15F7F" w14:textId="77777777" w:rsidR="003759EE" w:rsidRPr="003759EE" w:rsidRDefault="003759EE" w:rsidP="003759EE">
      <w:pPr>
        <w:widowControl/>
        <w:spacing w:before="240" w:line="360" w:lineRule="atLeast"/>
        <w:rPr>
          <w:rFonts w:ascii="Roboto" w:eastAsia="新細明體" w:hAnsi="Roboto" w:cs="新細明體"/>
          <w:color w:val="5F6368"/>
          <w:spacing w:val="2"/>
          <w:kern w:val="0"/>
          <w:szCs w:val="24"/>
        </w:rPr>
      </w:pPr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服務水準協議採用下列定義：</w:t>
      </w:r>
    </w:p>
    <w:p w14:paraId="42795205" w14:textId="50A68350" w:rsidR="003759EE" w:rsidRPr="003759EE" w:rsidRDefault="003759EE" w:rsidP="003759EE">
      <w:pPr>
        <w:widowControl/>
        <w:numPr>
          <w:ilvl w:val="0"/>
          <w:numId w:val="1"/>
        </w:numPr>
        <w:spacing w:before="240" w:after="240" w:line="360" w:lineRule="atLeast"/>
        <w:rPr>
          <w:rFonts w:ascii="Roboto" w:eastAsia="新細明體" w:hAnsi="Roboto" w:cs="新細明體"/>
          <w:color w:val="5F6368"/>
          <w:spacing w:val="2"/>
          <w:kern w:val="0"/>
          <w:szCs w:val="24"/>
        </w:rPr>
      </w:pPr>
      <w:r w:rsidRPr="003759EE">
        <w:rPr>
          <w:rFonts w:ascii="Roboto" w:eastAsia="新細明體" w:hAnsi="Roboto" w:cs="新細明體"/>
          <w:b/>
          <w:bCs/>
          <w:color w:val="5F6368"/>
          <w:spacing w:val="2"/>
          <w:kern w:val="0"/>
          <w:szCs w:val="24"/>
        </w:rPr>
        <w:t>「涵蓋服務」</w:t>
      </w:r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是指</w:t>
      </w:r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 xml:space="preserve"> </w:t>
      </w:r>
      <w:proofErr w:type="spellStart"/>
      <w:r>
        <w:rPr>
          <w:rFonts w:ascii="Roboto" w:eastAsia="新細明體" w:hAnsi="Roboto" w:cs="新細明體"/>
          <w:color w:val="5F6368"/>
          <w:kern w:val="0"/>
          <w:sz w:val="27"/>
          <w:szCs w:val="27"/>
        </w:rPr>
        <w:t>EzTooL</w:t>
      </w:r>
      <w:proofErr w:type="spellEnd"/>
      <w:r>
        <w:rPr>
          <w:rFonts w:ascii="Roboto" w:eastAsia="新細明體" w:hAnsi="Roboto" w:cs="新細明體"/>
          <w:color w:val="5F6368"/>
          <w:kern w:val="0"/>
          <w:sz w:val="27"/>
          <w:szCs w:val="27"/>
        </w:rPr>
        <w:t xml:space="preserve"> ERP</w:t>
      </w:r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 xml:space="preserve"> </w:t>
      </w:r>
      <w:r>
        <w:rPr>
          <w:rFonts w:ascii="Roboto" w:eastAsia="新細明體" w:hAnsi="Roboto" w:cs="新細明體"/>
          <w:color w:val="5F6368"/>
          <w:spacing w:val="2"/>
          <w:kern w:val="0"/>
          <w:szCs w:val="24"/>
        </w:rPr>
        <w:t xml:space="preserve"> </w:t>
      </w:r>
      <w:r>
        <w:rPr>
          <w:rFonts w:ascii="Roboto" w:eastAsia="新細明體" w:hAnsi="Roboto" w:cs="新細明體" w:hint="eastAsia"/>
          <w:color w:val="5F6368"/>
          <w:spacing w:val="2"/>
          <w:kern w:val="0"/>
          <w:szCs w:val="24"/>
        </w:rPr>
        <w:t>24</w:t>
      </w:r>
      <w:r>
        <w:rPr>
          <w:rFonts w:ascii="Roboto" w:eastAsia="新細明體" w:hAnsi="Roboto" w:cs="新細明體" w:hint="eastAsia"/>
          <w:color w:val="5F6368"/>
          <w:spacing w:val="2"/>
          <w:kern w:val="0"/>
          <w:szCs w:val="24"/>
        </w:rPr>
        <w:t>小時的正常運行，包含資料正確性</w:t>
      </w:r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。</w:t>
      </w:r>
    </w:p>
    <w:p w14:paraId="434C5D36" w14:textId="1646CDEF" w:rsidR="003759EE" w:rsidRPr="003759EE" w:rsidRDefault="003759EE" w:rsidP="003759EE">
      <w:pPr>
        <w:widowControl/>
        <w:numPr>
          <w:ilvl w:val="0"/>
          <w:numId w:val="1"/>
        </w:numPr>
        <w:spacing w:before="240" w:after="240" w:line="360" w:lineRule="atLeast"/>
        <w:rPr>
          <w:rFonts w:ascii="Roboto" w:eastAsia="新細明體" w:hAnsi="Roboto" w:cs="新細明體"/>
          <w:color w:val="5F6368"/>
          <w:spacing w:val="2"/>
          <w:kern w:val="0"/>
          <w:szCs w:val="24"/>
        </w:rPr>
      </w:pPr>
      <w:r w:rsidRPr="003759EE">
        <w:rPr>
          <w:rFonts w:ascii="Roboto" w:eastAsia="新細明體" w:hAnsi="Roboto" w:cs="新細明體"/>
          <w:b/>
          <w:bCs/>
          <w:color w:val="5F6368"/>
          <w:spacing w:val="2"/>
          <w:kern w:val="0"/>
          <w:szCs w:val="24"/>
        </w:rPr>
        <w:t>「停機時間」</w:t>
      </w:r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係指對適用的「涵蓋服務」執行個體的</w:t>
      </w:r>
      <w:r w:rsidR="00B249B8">
        <w:rPr>
          <w:rFonts w:ascii="Roboto" w:eastAsia="新細明體" w:hAnsi="Roboto" w:cs="新細明體" w:hint="eastAsia"/>
          <w:color w:val="5F6368"/>
          <w:spacing w:val="2"/>
          <w:kern w:val="0"/>
          <w:szCs w:val="24"/>
        </w:rPr>
        <w:t>連線</w:t>
      </w:r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要求均失敗的情形。</w:t>
      </w:r>
    </w:p>
    <w:p w14:paraId="63A0C0D3" w14:textId="77777777" w:rsidR="003759EE" w:rsidRPr="003759EE" w:rsidRDefault="003759EE" w:rsidP="003759EE">
      <w:pPr>
        <w:widowControl/>
        <w:numPr>
          <w:ilvl w:val="0"/>
          <w:numId w:val="1"/>
        </w:numPr>
        <w:spacing w:before="240" w:after="240" w:line="360" w:lineRule="atLeast"/>
        <w:rPr>
          <w:rFonts w:ascii="Roboto" w:eastAsia="新細明體" w:hAnsi="Roboto" w:cs="新細明體"/>
          <w:color w:val="5F6368"/>
          <w:spacing w:val="2"/>
          <w:kern w:val="0"/>
          <w:szCs w:val="24"/>
        </w:rPr>
      </w:pPr>
      <w:r w:rsidRPr="003759EE">
        <w:rPr>
          <w:rFonts w:ascii="Roboto" w:eastAsia="新細明體" w:hAnsi="Roboto" w:cs="新細明體"/>
          <w:b/>
          <w:bCs/>
          <w:color w:val="5F6368"/>
          <w:spacing w:val="2"/>
          <w:kern w:val="0"/>
          <w:szCs w:val="24"/>
        </w:rPr>
        <w:t>「停機時段」</w:t>
      </w:r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是指「停機時間」連續達五分鐘以上的時間。未滿五分鐘的「間歇性停機時間」並不會計入停機時段。「定期維護作業」的「停機時間」</w:t>
      </w:r>
      <w:proofErr w:type="gramStart"/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不</w:t>
      </w:r>
      <w:proofErr w:type="gramEnd"/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會計入</w:t>
      </w:r>
      <w:proofErr w:type="gramStart"/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任何</w:t>
      </w:r>
      <w:proofErr w:type="gramEnd"/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「停機時段」。</w:t>
      </w:r>
    </w:p>
    <w:p w14:paraId="2912412F" w14:textId="77777777" w:rsidR="003759EE" w:rsidRPr="003759EE" w:rsidRDefault="003759EE" w:rsidP="003759EE">
      <w:pPr>
        <w:widowControl/>
        <w:numPr>
          <w:ilvl w:val="0"/>
          <w:numId w:val="1"/>
        </w:numPr>
        <w:spacing w:before="240" w:line="360" w:lineRule="atLeast"/>
        <w:rPr>
          <w:rFonts w:ascii="Roboto" w:eastAsia="新細明體" w:hAnsi="Roboto" w:cs="新細明體"/>
          <w:color w:val="5F6368"/>
          <w:spacing w:val="2"/>
          <w:kern w:val="0"/>
          <w:szCs w:val="24"/>
        </w:rPr>
      </w:pPr>
      <w:r w:rsidRPr="003759EE">
        <w:rPr>
          <w:rFonts w:ascii="Roboto" w:eastAsia="新細明體" w:hAnsi="Roboto" w:cs="新細明體"/>
          <w:b/>
          <w:bCs/>
          <w:color w:val="5F6368"/>
          <w:spacing w:val="2"/>
          <w:kern w:val="0"/>
          <w:szCs w:val="24"/>
        </w:rPr>
        <w:t>「款項</w:t>
      </w:r>
      <w:proofErr w:type="gramStart"/>
      <w:r w:rsidRPr="003759EE">
        <w:rPr>
          <w:rFonts w:ascii="Roboto" w:eastAsia="新細明體" w:hAnsi="Roboto" w:cs="新細明體"/>
          <w:b/>
          <w:bCs/>
          <w:color w:val="5F6368"/>
          <w:spacing w:val="2"/>
          <w:kern w:val="0"/>
          <w:szCs w:val="24"/>
        </w:rPr>
        <w:t>抵免額</w:t>
      </w:r>
      <w:proofErr w:type="gramEnd"/>
      <w:r w:rsidRPr="003759EE">
        <w:rPr>
          <w:rFonts w:ascii="Roboto" w:eastAsia="新細明體" w:hAnsi="Roboto" w:cs="新細明體"/>
          <w:b/>
          <w:bCs/>
          <w:color w:val="5F6368"/>
          <w:spacing w:val="2"/>
          <w:kern w:val="0"/>
          <w:szCs w:val="24"/>
        </w:rPr>
        <w:t>」</w:t>
      </w:r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是指：</w:t>
      </w:r>
    </w:p>
    <w:tbl>
      <w:tblPr>
        <w:tblW w:w="12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8498"/>
      </w:tblGrid>
      <w:tr w:rsidR="003759EE" w:rsidRPr="003759EE" w14:paraId="56191D95" w14:textId="77777777" w:rsidTr="003759EE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60" w:type="dxa"/>
              <w:bottom w:w="300" w:type="dxa"/>
              <w:right w:w="360" w:type="dxa"/>
            </w:tcMar>
            <w:hideMark/>
          </w:tcPr>
          <w:p w14:paraId="3C5B7C72" w14:textId="77777777" w:rsidR="003759EE" w:rsidRPr="003759EE" w:rsidRDefault="003759EE" w:rsidP="003759EE">
            <w:pPr>
              <w:widowControl/>
              <w:spacing w:line="390" w:lineRule="atLeast"/>
              <w:rPr>
                <w:rFonts w:ascii="Arial" w:eastAsia="新細明體" w:hAnsi="Arial" w:cs="新細明體"/>
                <w:color w:val="3C4043"/>
                <w:kern w:val="0"/>
                <w:sz w:val="27"/>
                <w:szCs w:val="27"/>
              </w:rPr>
            </w:pPr>
            <w:r w:rsidRPr="003759EE">
              <w:rPr>
                <w:rFonts w:ascii="Arial" w:eastAsia="新細明體" w:hAnsi="Arial" w:cs="新細明體"/>
                <w:color w:val="3C4043"/>
                <w:kern w:val="0"/>
                <w:sz w:val="27"/>
                <w:szCs w:val="27"/>
              </w:rPr>
              <w:t>每月正常運作時間百分比</w:t>
            </w:r>
          </w:p>
        </w:tc>
        <w:tc>
          <w:tcPr>
            <w:tcW w:w="8498" w:type="dxa"/>
            <w:tcBorders>
              <w:top w:val="nil"/>
              <w:left w:val="single" w:sz="6" w:space="0" w:color="F1F3F4"/>
              <w:bottom w:val="nil"/>
              <w:right w:val="nil"/>
            </w:tcBorders>
            <w:shd w:val="clear" w:color="auto" w:fill="FFFFFF"/>
            <w:tcMar>
              <w:top w:w="300" w:type="dxa"/>
              <w:left w:w="360" w:type="dxa"/>
              <w:bottom w:w="300" w:type="dxa"/>
              <w:right w:w="360" w:type="dxa"/>
            </w:tcMar>
            <w:hideMark/>
          </w:tcPr>
          <w:p w14:paraId="18AE39F7" w14:textId="77777777" w:rsidR="003759EE" w:rsidRDefault="003759EE" w:rsidP="003759EE">
            <w:pPr>
              <w:widowControl/>
              <w:spacing w:line="390" w:lineRule="atLeast"/>
              <w:rPr>
                <w:rFonts w:ascii="Arial" w:eastAsia="新細明體" w:hAnsi="Arial" w:cs="新細明體"/>
                <w:color w:val="3C4043"/>
                <w:kern w:val="0"/>
                <w:sz w:val="27"/>
                <w:szCs w:val="27"/>
              </w:rPr>
            </w:pPr>
            <w:r w:rsidRPr="003759EE">
              <w:rPr>
                <w:rFonts w:ascii="Arial" w:eastAsia="新細明體" w:hAnsi="Arial" w:cs="新細明體"/>
                <w:color w:val="3C4043"/>
                <w:kern w:val="0"/>
                <w:sz w:val="27"/>
                <w:szCs w:val="27"/>
              </w:rPr>
              <w:t>適用的「涵蓋服務」未達</w:t>
            </w:r>
            <w:r>
              <w:rPr>
                <w:rFonts w:ascii="Arial" w:eastAsia="新細明體" w:hAnsi="Arial" w:cs="新細明體" w:hint="eastAsia"/>
                <w:color w:val="3C4043"/>
                <w:kern w:val="0"/>
                <w:sz w:val="27"/>
                <w:szCs w:val="27"/>
              </w:rPr>
              <w:t>標</w:t>
            </w:r>
          </w:p>
          <w:p w14:paraId="1CC1E91F" w14:textId="6EF2836E" w:rsidR="003759EE" w:rsidRPr="003759EE" w:rsidRDefault="003759EE" w:rsidP="003759EE">
            <w:pPr>
              <w:widowControl/>
              <w:spacing w:line="390" w:lineRule="atLeast"/>
              <w:rPr>
                <w:rFonts w:ascii="Arial" w:eastAsia="新細明體" w:hAnsi="Arial" w:cs="新細明體"/>
                <w:color w:val="3C4043"/>
                <w:kern w:val="0"/>
                <w:sz w:val="27"/>
                <w:szCs w:val="27"/>
              </w:rPr>
            </w:pPr>
            <w:r w:rsidRPr="003759EE">
              <w:rPr>
                <w:rFonts w:ascii="Arial" w:eastAsia="新細明體" w:hAnsi="Arial" w:cs="新細明體"/>
                <w:color w:val="3C4043"/>
                <w:kern w:val="0"/>
                <w:sz w:val="27"/>
                <w:szCs w:val="27"/>
              </w:rPr>
              <w:t>而向「客戶」提供的後每月收費抵免百分比</w:t>
            </w:r>
          </w:p>
        </w:tc>
      </w:tr>
      <w:tr w:rsidR="003759EE" w:rsidRPr="003759EE" w14:paraId="035DFE79" w14:textId="77777777" w:rsidTr="003759E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14:paraId="1C90B65F" w14:textId="77777777" w:rsidR="003759EE" w:rsidRPr="003759EE" w:rsidRDefault="003759EE" w:rsidP="003759EE">
            <w:pPr>
              <w:widowControl/>
              <w:spacing w:line="390" w:lineRule="atLeast"/>
              <w:rPr>
                <w:rFonts w:ascii="Arial" w:eastAsia="新細明體" w:hAnsi="Arial" w:cs="新細明體"/>
                <w:color w:val="3C4043"/>
                <w:kern w:val="0"/>
                <w:szCs w:val="24"/>
              </w:rPr>
            </w:pPr>
            <w:r w:rsidRPr="003759EE">
              <w:rPr>
                <w:rFonts w:ascii="Arial" w:eastAsia="新細明體" w:hAnsi="Arial" w:cs="新細明體"/>
                <w:color w:val="3C4043"/>
                <w:kern w:val="0"/>
                <w:szCs w:val="24"/>
              </w:rPr>
              <w:t>99.0%–&lt; 99.9%</w:t>
            </w:r>
          </w:p>
        </w:tc>
        <w:tc>
          <w:tcPr>
            <w:tcW w:w="8498" w:type="dxa"/>
            <w:tcBorders>
              <w:top w:val="nil"/>
              <w:left w:val="single" w:sz="6" w:space="0" w:color="F1F3F4"/>
              <w:bottom w:val="nil"/>
              <w:right w:val="nil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14:paraId="76B11ACC" w14:textId="77777777" w:rsidR="003759EE" w:rsidRPr="003759EE" w:rsidRDefault="003759EE" w:rsidP="003759EE">
            <w:pPr>
              <w:widowControl/>
              <w:spacing w:line="390" w:lineRule="atLeast"/>
              <w:rPr>
                <w:rFonts w:ascii="Arial" w:eastAsia="新細明體" w:hAnsi="Arial" w:cs="新細明體"/>
                <w:color w:val="3C4043"/>
                <w:kern w:val="0"/>
                <w:szCs w:val="24"/>
              </w:rPr>
            </w:pPr>
            <w:r w:rsidRPr="003759EE">
              <w:rPr>
                <w:rFonts w:ascii="Arial" w:eastAsia="新細明體" w:hAnsi="Arial" w:cs="新細明體"/>
                <w:color w:val="3C4043"/>
                <w:kern w:val="0"/>
                <w:szCs w:val="24"/>
              </w:rPr>
              <w:t>10%</w:t>
            </w:r>
          </w:p>
        </w:tc>
      </w:tr>
      <w:tr w:rsidR="003759EE" w:rsidRPr="003759EE" w14:paraId="1557CB3E" w14:textId="77777777" w:rsidTr="003759E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14:paraId="47F80CE6" w14:textId="77777777" w:rsidR="003759EE" w:rsidRPr="003759EE" w:rsidRDefault="003759EE" w:rsidP="003759EE">
            <w:pPr>
              <w:widowControl/>
              <w:spacing w:line="390" w:lineRule="atLeast"/>
              <w:rPr>
                <w:rFonts w:ascii="Arial" w:eastAsia="新細明體" w:hAnsi="Arial" w:cs="新細明體"/>
                <w:color w:val="3C4043"/>
                <w:kern w:val="0"/>
                <w:szCs w:val="24"/>
              </w:rPr>
            </w:pPr>
            <w:r w:rsidRPr="003759EE">
              <w:rPr>
                <w:rFonts w:ascii="Arial" w:eastAsia="新細明體" w:hAnsi="Arial" w:cs="新細明體"/>
                <w:color w:val="3C4043"/>
                <w:kern w:val="0"/>
                <w:szCs w:val="24"/>
              </w:rPr>
              <w:t>95.0%–&lt; 99.0%</w:t>
            </w:r>
          </w:p>
        </w:tc>
        <w:tc>
          <w:tcPr>
            <w:tcW w:w="8498" w:type="dxa"/>
            <w:tcBorders>
              <w:top w:val="nil"/>
              <w:left w:val="single" w:sz="6" w:space="0" w:color="F1F3F4"/>
              <w:bottom w:val="nil"/>
              <w:right w:val="nil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14:paraId="12139C17" w14:textId="77777777" w:rsidR="003759EE" w:rsidRPr="003759EE" w:rsidRDefault="003759EE" w:rsidP="003759EE">
            <w:pPr>
              <w:widowControl/>
              <w:spacing w:line="390" w:lineRule="atLeast"/>
              <w:rPr>
                <w:rFonts w:ascii="Arial" w:eastAsia="新細明體" w:hAnsi="Arial" w:cs="新細明體"/>
                <w:color w:val="3C4043"/>
                <w:kern w:val="0"/>
                <w:szCs w:val="24"/>
              </w:rPr>
            </w:pPr>
            <w:r w:rsidRPr="003759EE">
              <w:rPr>
                <w:rFonts w:ascii="Arial" w:eastAsia="新細明體" w:hAnsi="Arial" w:cs="新細明體"/>
                <w:color w:val="3C4043"/>
                <w:kern w:val="0"/>
                <w:szCs w:val="24"/>
              </w:rPr>
              <w:t>25%</w:t>
            </w:r>
          </w:p>
        </w:tc>
      </w:tr>
      <w:tr w:rsidR="003759EE" w:rsidRPr="003759EE" w14:paraId="29262AEB" w14:textId="77777777" w:rsidTr="003759E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14:paraId="641CB56E" w14:textId="77777777" w:rsidR="003759EE" w:rsidRPr="003759EE" w:rsidRDefault="003759EE" w:rsidP="003759EE">
            <w:pPr>
              <w:widowControl/>
              <w:spacing w:line="390" w:lineRule="atLeast"/>
              <w:rPr>
                <w:rFonts w:ascii="Arial" w:eastAsia="新細明體" w:hAnsi="Arial" w:cs="新細明體"/>
                <w:color w:val="3C4043"/>
                <w:kern w:val="0"/>
                <w:szCs w:val="24"/>
              </w:rPr>
            </w:pPr>
            <w:r w:rsidRPr="003759EE">
              <w:rPr>
                <w:rFonts w:ascii="Arial" w:eastAsia="新細明體" w:hAnsi="Arial" w:cs="新細明體"/>
                <w:color w:val="3C4043"/>
                <w:kern w:val="0"/>
                <w:szCs w:val="24"/>
              </w:rPr>
              <w:lastRenderedPageBreak/>
              <w:t>&lt;95.0%</w:t>
            </w:r>
          </w:p>
        </w:tc>
        <w:tc>
          <w:tcPr>
            <w:tcW w:w="8498" w:type="dxa"/>
            <w:tcBorders>
              <w:top w:val="nil"/>
              <w:left w:val="single" w:sz="6" w:space="0" w:color="F1F3F4"/>
              <w:bottom w:val="nil"/>
              <w:right w:val="nil"/>
            </w:tcBorders>
            <w:shd w:val="clear" w:color="auto" w:fill="auto"/>
            <w:tcMar>
              <w:top w:w="240" w:type="dxa"/>
              <w:left w:w="360" w:type="dxa"/>
              <w:bottom w:w="240" w:type="dxa"/>
              <w:right w:w="360" w:type="dxa"/>
            </w:tcMar>
            <w:hideMark/>
          </w:tcPr>
          <w:p w14:paraId="3C6927BC" w14:textId="77777777" w:rsidR="003759EE" w:rsidRPr="003759EE" w:rsidRDefault="003759EE" w:rsidP="003759EE">
            <w:pPr>
              <w:widowControl/>
              <w:spacing w:line="390" w:lineRule="atLeast"/>
              <w:rPr>
                <w:rFonts w:ascii="Arial" w:eastAsia="新細明體" w:hAnsi="Arial" w:cs="新細明體"/>
                <w:color w:val="3C4043"/>
                <w:kern w:val="0"/>
                <w:szCs w:val="24"/>
              </w:rPr>
            </w:pPr>
            <w:r w:rsidRPr="003759EE">
              <w:rPr>
                <w:rFonts w:ascii="Arial" w:eastAsia="新細明體" w:hAnsi="Arial" w:cs="新細明體"/>
                <w:color w:val="3C4043"/>
                <w:kern w:val="0"/>
                <w:szCs w:val="24"/>
              </w:rPr>
              <w:t>50%</w:t>
            </w:r>
          </w:p>
        </w:tc>
      </w:tr>
    </w:tbl>
    <w:p w14:paraId="3849481F" w14:textId="77777777" w:rsidR="003759EE" w:rsidRPr="003759EE" w:rsidRDefault="003759EE" w:rsidP="003759EE">
      <w:pPr>
        <w:widowControl/>
        <w:numPr>
          <w:ilvl w:val="0"/>
          <w:numId w:val="2"/>
        </w:numPr>
        <w:spacing w:before="240" w:after="240" w:line="360" w:lineRule="atLeast"/>
        <w:rPr>
          <w:rFonts w:ascii="Roboto" w:eastAsia="新細明體" w:hAnsi="Roboto" w:cs="新細明體"/>
          <w:color w:val="5F6368"/>
          <w:spacing w:val="2"/>
          <w:kern w:val="0"/>
          <w:szCs w:val="24"/>
        </w:rPr>
      </w:pPr>
      <w:r w:rsidRPr="003759EE">
        <w:rPr>
          <w:rFonts w:ascii="Roboto" w:eastAsia="新細明體" w:hAnsi="Roboto" w:cs="新細明體"/>
          <w:b/>
          <w:bCs/>
          <w:color w:val="5F6368"/>
          <w:spacing w:val="2"/>
          <w:kern w:val="0"/>
          <w:szCs w:val="24"/>
        </w:rPr>
        <w:t>「每月正常運作時間百分比」</w:t>
      </w:r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是以當月總分鐘數扣掉當月所有「停機時段」的「停機」分鐘數，再除以當月總分鐘數計算而得。</w:t>
      </w:r>
    </w:p>
    <w:p w14:paraId="6E60A36D" w14:textId="5DACC55B" w:rsidR="003759EE" w:rsidRPr="003759EE" w:rsidRDefault="003759EE" w:rsidP="003759EE">
      <w:pPr>
        <w:widowControl/>
        <w:numPr>
          <w:ilvl w:val="0"/>
          <w:numId w:val="2"/>
        </w:numPr>
        <w:spacing w:before="240" w:line="360" w:lineRule="atLeast"/>
        <w:rPr>
          <w:rFonts w:ascii="Roboto" w:eastAsia="新細明體" w:hAnsi="Roboto" w:cs="新細明體"/>
          <w:color w:val="5F6368"/>
          <w:spacing w:val="2"/>
          <w:kern w:val="0"/>
          <w:szCs w:val="24"/>
        </w:rPr>
      </w:pPr>
      <w:r w:rsidRPr="003759EE">
        <w:rPr>
          <w:rFonts w:ascii="Roboto" w:eastAsia="新細明體" w:hAnsi="Roboto" w:cs="新細明體"/>
          <w:b/>
          <w:bCs/>
          <w:color w:val="5F6368"/>
          <w:spacing w:val="2"/>
          <w:kern w:val="0"/>
          <w:szCs w:val="24"/>
        </w:rPr>
        <w:t>「定期維護作業」</w:t>
      </w:r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屬於網路、硬體、軟體維護或升級方面的停機時間。定期維護作業將由</w:t>
      </w:r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 xml:space="preserve"> </w:t>
      </w:r>
      <w:proofErr w:type="spellStart"/>
      <w:r>
        <w:rPr>
          <w:rFonts w:ascii="Roboto" w:eastAsia="新細明體" w:hAnsi="Roboto" w:cs="新細明體"/>
          <w:color w:val="5F6368"/>
          <w:kern w:val="0"/>
          <w:sz w:val="27"/>
          <w:szCs w:val="27"/>
        </w:rPr>
        <w:t>EzTooL</w:t>
      </w:r>
      <w:proofErr w:type="spellEnd"/>
      <w:r>
        <w:rPr>
          <w:rFonts w:ascii="Roboto" w:eastAsia="新細明體" w:hAnsi="Roboto" w:cs="新細明體"/>
          <w:color w:val="5F6368"/>
          <w:kern w:val="0"/>
          <w:sz w:val="27"/>
          <w:szCs w:val="27"/>
        </w:rPr>
        <w:t xml:space="preserve"> ERP</w:t>
      </w:r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自行斟酌履行。</w:t>
      </w:r>
    </w:p>
    <w:p w14:paraId="0C6A8875" w14:textId="77777777" w:rsidR="003759EE" w:rsidRPr="003759EE" w:rsidRDefault="003759EE" w:rsidP="003759EE">
      <w:pPr>
        <w:widowControl/>
        <w:spacing w:line="420" w:lineRule="atLeast"/>
        <w:outlineLvl w:val="3"/>
        <w:rPr>
          <w:rFonts w:ascii="Roboto" w:eastAsia="新細明體" w:hAnsi="Roboto" w:cs="新細明體"/>
          <w:color w:val="202124"/>
          <w:kern w:val="0"/>
          <w:sz w:val="30"/>
          <w:szCs w:val="30"/>
        </w:rPr>
      </w:pPr>
      <w:r w:rsidRPr="003759EE">
        <w:rPr>
          <w:rFonts w:ascii="Roboto" w:eastAsia="新細明體" w:hAnsi="Roboto" w:cs="新細明體"/>
          <w:color w:val="202124"/>
          <w:kern w:val="0"/>
          <w:sz w:val="30"/>
          <w:szCs w:val="30"/>
        </w:rPr>
        <w:t>客戶必須依據規定的程序申請款項抵免額</w:t>
      </w:r>
    </w:p>
    <w:p w14:paraId="6E01ADB8" w14:textId="0E50B5C2" w:rsidR="003759EE" w:rsidRPr="003759EE" w:rsidRDefault="003759EE" w:rsidP="003759EE">
      <w:pPr>
        <w:widowControl/>
        <w:spacing w:before="240" w:line="360" w:lineRule="atLeast"/>
        <w:rPr>
          <w:rFonts w:ascii="Roboto" w:eastAsia="新細明體" w:hAnsi="Roboto" w:cs="新細明體"/>
          <w:color w:val="5F6368"/>
          <w:spacing w:val="2"/>
          <w:kern w:val="0"/>
          <w:szCs w:val="24"/>
        </w:rPr>
      </w:pPr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如要索取上述</w:t>
      </w:r>
      <w:proofErr w:type="gramStart"/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任何「</w:t>
      </w:r>
      <w:proofErr w:type="gramEnd"/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款項</w:t>
      </w:r>
      <w:proofErr w:type="gramStart"/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抵免</w:t>
      </w:r>
      <w:proofErr w:type="gramEnd"/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額」，「客戶」必須在符合索取「款項</w:t>
      </w:r>
      <w:proofErr w:type="gramStart"/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抵免</w:t>
      </w:r>
      <w:proofErr w:type="gramEnd"/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額」的資格時起，於三十天內</w:t>
      </w:r>
      <w:r w:rsidR="00B249B8">
        <w:rPr>
          <w:rFonts w:ascii="Roboto" w:eastAsia="新細明體" w:hAnsi="Roboto" w:cs="新細明體" w:hint="eastAsia"/>
          <w:color w:val="5F6368"/>
          <w:spacing w:val="2"/>
          <w:kern w:val="0"/>
          <w:szCs w:val="24"/>
        </w:rPr>
        <w:t>至</w:t>
      </w:r>
      <w:proofErr w:type="spellStart"/>
      <w:r w:rsidR="00B249B8">
        <w:rPr>
          <w:rFonts w:ascii="Roboto" w:eastAsia="新細明體" w:hAnsi="Roboto" w:cs="新細明體"/>
          <w:color w:val="5F6368"/>
          <w:kern w:val="0"/>
          <w:sz w:val="27"/>
          <w:szCs w:val="27"/>
        </w:rPr>
        <w:t>EzTooL</w:t>
      </w:r>
      <w:proofErr w:type="spellEnd"/>
      <w:r w:rsidR="00B249B8">
        <w:rPr>
          <w:rFonts w:ascii="Roboto" w:eastAsia="新細明體" w:hAnsi="Roboto" w:cs="新細明體"/>
          <w:color w:val="5F6368"/>
          <w:kern w:val="0"/>
          <w:sz w:val="27"/>
          <w:szCs w:val="27"/>
        </w:rPr>
        <w:t xml:space="preserve"> ERP</w:t>
      </w:r>
      <w:proofErr w:type="gramStart"/>
      <w:r w:rsidR="00B249B8">
        <w:rPr>
          <w:rFonts w:ascii="Roboto" w:eastAsia="新細明體" w:hAnsi="Roboto" w:cs="新細明體" w:hint="eastAsia"/>
          <w:color w:val="5F6368"/>
          <w:kern w:val="0"/>
          <w:sz w:val="27"/>
          <w:szCs w:val="27"/>
        </w:rPr>
        <w:t>官網線</w:t>
      </w:r>
      <w:proofErr w:type="gramEnd"/>
      <w:r w:rsidR="00B249B8">
        <w:rPr>
          <w:rFonts w:ascii="Roboto" w:eastAsia="新細明體" w:hAnsi="Roboto" w:cs="新細明體" w:hint="eastAsia"/>
          <w:color w:val="5F6368"/>
          <w:kern w:val="0"/>
          <w:sz w:val="27"/>
          <w:szCs w:val="27"/>
        </w:rPr>
        <w:t>上反應，</w:t>
      </w:r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如果「客戶」未依規定提出通知，則喪失獲取「款項</w:t>
      </w:r>
      <w:proofErr w:type="gramStart"/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抵免</w:t>
      </w:r>
      <w:proofErr w:type="gramEnd"/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額」的權利。</w:t>
      </w:r>
    </w:p>
    <w:p w14:paraId="5172550B" w14:textId="77777777" w:rsidR="003759EE" w:rsidRPr="003759EE" w:rsidRDefault="003759EE" w:rsidP="003759EE">
      <w:pPr>
        <w:widowControl/>
        <w:spacing w:line="420" w:lineRule="atLeast"/>
        <w:outlineLvl w:val="3"/>
        <w:rPr>
          <w:rFonts w:ascii="Roboto" w:eastAsia="新細明體" w:hAnsi="Roboto" w:cs="新細明體"/>
          <w:color w:val="202124"/>
          <w:kern w:val="0"/>
          <w:sz w:val="30"/>
          <w:szCs w:val="30"/>
        </w:rPr>
      </w:pPr>
      <w:r w:rsidRPr="003759EE">
        <w:rPr>
          <w:rFonts w:ascii="Roboto" w:eastAsia="新細明體" w:hAnsi="Roboto" w:cs="新細明體"/>
          <w:color w:val="202124"/>
          <w:kern w:val="0"/>
          <w:sz w:val="30"/>
          <w:szCs w:val="30"/>
        </w:rPr>
        <w:t>款項</w:t>
      </w:r>
      <w:proofErr w:type="gramStart"/>
      <w:r w:rsidRPr="003759EE">
        <w:rPr>
          <w:rFonts w:ascii="Roboto" w:eastAsia="新細明體" w:hAnsi="Roboto" w:cs="新細明體"/>
          <w:color w:val="202124"/>
          <w:kern w:val="0"/>
          <w:sz w:val="30"/>
          <w:szCs w:val="30"/>
        </w:rPr>
        <w:t>抵免額上限</w:t>
      </w:r>
      <w:proofErr w:type="gramEnd"/>
    </w:p>
    <w:p w14:paraId="2A3561BC" w14:textId="19FDD10F" w:rsidR="003759EE" w:rsidRPr="003759EE" w:rsidRDefault="00B249B8" w:rsidP="003759EE">
      <w:pPr>
        <w:widowControl/>
        <w:spacing w:before="240" w:line="360" w:lineRule="atLeast"/>
        <w:rPr>
          <w:rFonts w:ascii="Roboto" w:eastAsia="新細明體" w:hAnsi="Roboto" w:cs="新細明體"/>
          <w:color w:val="5F6368"/>
          <w:spacing w:val="2"/>
          <w:kern w:val="0"/>
          <w:szCs w:val="24"/>
        </w:rPr>
      </w:pPr>
      <w:proofErr w:type="spellStart"/>
      <w:r>
        <w:rPr>
          <w:rFonts w:ascii="Roboto" w:eastAsia="新細明體" w:hAnsi="Roboto" w:cs="新細明體"/>
          <w:color w:val="5F6368"/>
          <w:kern w:val="0"/>
          <w:sz w:val="27"/>
          <w:szCs w:val="27"/>
        </w:rPr>
        <w:t>EzTooL</w:t>
      </w:r>
      <w:proofErr w:type="spellEnd"/>
      <w:r>
        <w:rPr>
          <w:rFonts w:ascii="Roboto" w:eastAsia="新細明體" w:hAnsi="Roboto" w:cs="新細明體"/>
          <w:color w:val="5F6368"/>
          <w:kern w:val="0"/>
          <w:sz w:val="27"/>
          <w:szCs w:val="27"/>
        </w:rPr>
        <w:t xml:space="preserve"> ERP</w:t>
      </w:r>
      <w:r w:rsidR="003759EE"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 xml:space="preserve"> </w:t>
      </w:r>
      <w:r w:rsidR="003759EE"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就單月發生的所有「停機時段」而核發給「客戶」的「款項</w:t>
      </w:r>
      <w:proofErr w:type="gramStart"/>
      <w:r w:rsidR="003759EE"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抵免額</w:t>
      </w:r>
      <w:proofErr w:type="gramEnd"/>
      <w:r w:rsidR="003759EE"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」總額，不得超過「客戶」當月為適用的「涵蓋服務」繳納金額的</w:t>
      </w:r>
      <w:r w:rsidR="003759EE"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 xml:space="preserve"> 50%</w:t>
      </w:r>
      <w:r w:rsidR="003759EE"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。「款項</w:t>
      </w:r>
      <w:proofErr w:type="gramStart"/>
      <w:r w:rsidR="003759EE"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抵免額</w:t>
      </w:r>
      <w:proofErr w:type="gramEnd"/>
      <w:r w:rsidR="003759EE"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」將會以抵免金額的方式，抵免後續使用「涵蓋服務」的款項，並且會在申請「款項</w:t>
      </w:r>
      <w:proofErr w:type="gramStart"/>
      <w:r w:rsidR="003759EE"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抵免</w:t>
      </w:r>
      <w:proofErr w:type="gramEnd"/>
      <w:r w:rsidR="003759EE"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額」後</w:t>
      </w:r>
      <w:r w:rsidR="003759EE"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 xml:space="preserve"> 60 </w:t>
      </w:r>
      <w:r w:rsidR="003759EE"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天內生效。</w:t>
      </w:r>
    </w:p>
    <w:p w14:paraId="5CF341DC" w14:textId="77777777" w:rsidR="003759EE" w:rsidRPr="003759EE" w:rsidRDefault="003759EE" w:rsidP="003759EE">
      <w:pPr>
        <w:widowControl/>
        <w:spacing w:line="420" w:lineRule="atLeast"/>
        <w:outlineLvl w:val="3"/>
        <w:rPr>
          <w:rFonts w:ascii="Roboto" w:eastAsia="新細明體" w:hAnsi="Roboto" w:cs="新細明體"/>
          <w:color w:val="202124"/>
          <w:kern w:val="0"/>
          <w:sz w:val="30"/>
          <w:szCs w:val="30"/>
        </w:rPr>
      </w:pPr>
      <w:r w:rsidRPr="003759EE">
        <w:rPr>
          <w:rFonts w:ascii="Roboto" w:eastAsia="新細明體" w:hAnsi="Roboto" w:cs="新細明體"/>
          <w:color w:val="202124"/>
          <w:kern w:val="0"/>
          <w:sz w:val="30"/>
          <w:szCs w:val="30"/>
        </w:rPr>
        <w:t>服務水準協議排除條款</w:t>
      </w:r>
    </w:p>
    <w:p w14:paraId="7B328995" w14:textId="6C5DB377" w:rsidR="003759EE" w:rsidRPr="003759EE" w:rsidRDefault="003759EE" w:rsidP="003759EE">
      <w:pPr>
        <w:widowControl/>
        <w:spacing w:before="240" w:line="360" w:lineRule="atLeast"/>
        <w:rPr>
          <w:rFonts w:ascii="Roboto" w:eastAsia="新細明體" w:hAnsi="Roboto" w:cs="新細明體"/>
          <w:color w:val="5F6368"/>
          <w:spacing w:val="2"/>
          <w:kern w:val="0"/>
          <w:szCs w:val="24"/>
        </w:rPr>
      </w:pPr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服務水準協議不適用下列任一項目：</w:t>
      </w:r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 xml:space="preserve">(a) </w:t>
      </w:r>
      <w:r w:rsidR="00B249B8">
        <w:rPr>
          <w:rFonts w:ascii="Roboto" w:eastAsia="新細明體" w:hAnsi="Roboto" w:cs="新細明體" w:hint="eastAsia"/>
          <w:color w:val="5F6368"/>
          <w:spacing w:val="2"/>
          <w:kern w:val="0"/>
          <w:szCs w:val="24"/>
        </w:rPr>
        <w:t>臨時指定需斷線處理的功能或服務</w:t>
      </w:r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 xml:space="preserve"> (</w:t>
      </w:r>
      <w:r w:rsidR="00B249B8">
        <w:rPr>
          <w:rFonts w:ascii="Roboto" w:eastAsia="新細明體" w:hAnsi="Roboto" w:cs="新細明體" w:hint="eastAsia"/>
          <w:color w:val="5F6368"/>
          <w:spacing w:val="2"/>
          <w:kern w:val="0"/>
          <w:szCs w:val="24"/>
        </w:rPr>
        <w:t>b</w:t>
      </w:r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 xml:space="preserve">) </w:t>
      </w:r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已淘汰的功能或服務，或</w:t>
      </w:r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 xml:space="preserve"> (</w:t>
      </w:r>
      <w:r w:rsidR="00B249B8">
        <w:rPr>
          <w:rFonts w:ascii="Roboto" w:eastAsia="新細明體" w:hAnsi="Roboto" w:cs="新細明體" w:hint="eastAsia"/>
          <w:color w:val="5F6368"/>
          <w:spacing w:val="2"/>
          <w:kern w:val="0"/>
          <w:szCs w:val="24"/>
        </w:rPr>
        <w:t>c</w:t>
      </w:r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 xml:space="preserve">) </w:t>
      </w:r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以下錯誤：</w:t>
      </w:r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(</w:t>
      </w:r>
      <w:proofErr w:type="spellStart"/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i</w:t>
      </w:r>
      <w:proofErr w:type="spellEnd"/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 xml:space="preserve">) </w:t>
      </w:r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超出</w:t>
      </w:r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 xml:space="preserve"> </w:t>
      </w:r>
      <w:proofErr w:type="spellStart"/>
      <w:r w:rsidR="00B249B8">
        <w:rPr>
          <w:rFonts w:ascii="Roboto" w:eastAsia="新細明體" w:hAnsi="Roboto" w:cs="新細明體"/>
          <w:color w:val="5F6368"/>
          <w:kern w:val="0"/>
          <w:sz w:val="27"/>
          <w:szCs w:val="27"/>
        </w:rPr>
        <w:t>EzTooL</w:t>
      </w:r>
      <w:proofErr w:type="spellEnd"/>
      <w:r w:rsidR="00B249B8">
        <w:rPr>
          <w:rFonts w:ascii="Roboto" w:eastAsia="新細明體" w:hAnsi="Roboto" w:cs="新細明體"/>
          <w:color w:val="5F6368"/>
          <w:kern w:val="0"/>
          <w:sz w:val="27"/>
          <w:szCs w:val="27"/>
        </w:rPr>
        <w:t xml:space="preserve"> ERP</w:t>
      </w:r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合理上可控制之因素所導致的錯誤</w:t>
      </w:r>
      <w:r w:rsidR="00B249B8">
        <w:rPr>
          <w:rFonts w:ascii="Roboto" w:eastAsia="新細明體" w:hAnsi="Roboto" w:cs="新細明體" w:hint="eastAsia"/>
          <w:color w:val="5F6368"/>
          <w:spacing w:val="2"/>
          <w:kern w:val="0"/>
          <w:szCs w:val="24"/>
        </w:rPr>
        <w:t>(</w:t>
      </w:r>
      <w:r w:rsidR="00B249B8">
        <w:rPr>
          <w:rFonts w:ascii="Roboto" w:eastAsia="新細明體" w:hAnsi="Roboto" w:cs="新細明體" w:hint="eastAsia"/>
          <w:color w:val="5F6368"/>
          <w:spacing w:val="2"/>
          <w:kern w:val="0"/>
          <w:szCs w:val="24"/>
        </w:rPr>
        <w:t>如用戶自已的網路環境</w:t>
      </w:r>
      <w:r w:rsidR="00B249B8">
        <w:rPr>
          <w:rFonts w:ascii="Roboto" w:eastAsia="新細明體" w:hAnsi="Roboto" w:cs="新細明體" w:hint="eastAsia"/>
          <w:color w:val="5F6368"/>
          <w:spacing w:val="2"/>
          <w:kern w:val="0"/>
          <w:szCs w:val="24"/>
        </w:rPr>
        <w:t>)</w:t>
      </w:r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；</w:t>
      </w:r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 xml:space="preserve">(ii) </w:t>
      </w:r>
      <w:r w:rsidRPr="003759EE">
        <w:rPr>
          <w:rFonts w:ascii="Roboto" w:eastAsia="新細明體" w:hAnsi="Roboto" w:cs="新細明體"/>
          <w:color w:val="5F6368"/>
          <w:spacing w:val="2"/>
          <w:kern w:val="0"/>
          <w:szCs w:val="24"/>
        </w:rPr>
        <w:t>因客戶軟硬體或第三方軟硬體或以上兩者所導致的錯誤。</w:t>
      </w:r>
    </w:p>
    <w:p w14:paraId="4BEDCD99" w14:textId="77777777" w:rsidR="00F46A97" w:rsidRDefault="00F46A97"/>
    <w:sectPr w:rsidR="00F46A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5F78"/>
    <w:multiLevelType w:val="multilevel"/>
    <w:tmpl w:val="7312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014058"/>
    <w:multiLevelType w:val="multilevel"/>
    <w:tmpl w:val="86D8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97"/>
    <w:rsid w:val="003759EE"/>
    <w:rsid w:val="00AF1752"/>
    <w:rsid w:val="00B249B8"/>
    <w:rsid w:val="00F4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B3D43"/>
  <w15:chartTrackingRefBased/>
  <w15:docId w15:val="{6673111B-4535-4D1A-A7D4-516BA0EB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759E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9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759E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759E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rsid w:val="003759EE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759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759EE"/>
    <w:rPr>
      <w:b/>
      <w:bCs/>
    </w:rPr>
  </w:style>
  <w:style w:type="character" w:styleId="a4">
    <w:name w:val="Hyperlink"/>
    <w:basedOn w:val="a0"/>
    <w:uiPriority w:val="99"/>
    <w:semiHidden/>
    <w:unhideWhenUsed/>
    <w:rsid w:val="003759EE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3759E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49456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51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20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8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03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42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660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46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084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591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54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64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2021-09-15T03:53:00Z</dcterms:created>
  <dcterms:modified xsi:type="dcterms:W3CDTF">2021-09-15T03:53:00Z</dcterms:modified>
</cp:coreProperties>
</file>